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宋体" w:hAnsi="宋体" w:eastAsia="宋体" w:cs="宋体"/>
          <w:b/>
          <w:bCs/>
          <w:color w:val="333333"/>
          <w:sz w:val="36"/>
          <w:szCs w:val="36"/>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36"/>
          <w:szCs w:val="36"/>
        </w:rPr>
      </w:pPr>
      <w:r>
        <w:rPr>
          <w:rFonts w:hint="default" w:ascii="方正小标宋简体" w:hAnsi="方正小标宋简体" w:eastAsia="方正小标宋简体" w:cs="方正小标宋简体"/>
          <w:color w:val="auto"/>
          <w:sz w:val="36"/>
          <w:szCs w:val="36"/>
          <w:lang w:val="en"/>
        </w:rPr>
        <w:t>咸宁</w:t>
      </w:r>
      <w:r>
        <w:rPr>
          <w:rFonts w:hint="eastAsia" w:ascii="方正小标宋简体" w:hAnsi="方正小标宋简体" w:eastAsia="方正小标宋简体" w:cs="方正小标宋简体"/>
          <w:color w:val="auto"/>
          <w:sz w:val="36"/>
          <w:szCs w:val="36"/>
        </w:rPr>
        <w:t>市信访局2025年政府信息公开工作年度报告</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420"/>
        <w:jc w:val="both"/>
        <w:textAlignment w:val="auto"/>
        <w:rPr>
          <w:rFonts w:hint="eastAsia" w:ascii="宋体" w:hAnsi="宋体" w:eastAsia="宋体" w:cs="宋体"/>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b w:val="0"/>
          <w:bCs w:val="0"/>
          <w:sz w:val="32"/>
          <w:szCs w:val="32"/>
        </w:rPr>
      </w:pPr>
      <w:r>
        <w:rPr>
          <w:rFonts w:hint="eastAsia" w:ascii="黑体" w:hAnsi="黑体" w:eastAsia="黑体" w:cs="黑体"/>
          <w:b w:val="0"/>
          <w:bCs w:val="0"/>
          <w:color w:val="333333"/>
          <w:sz w:val="32"/>
          <w:szCs w:val="32"/>
        </w:rPr>
        <w:t>一、总体情况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2025年，咸宁市信访局深入学习贯彻习近平总书记关于加强和改进人民信访工作的重要思想及政府信息公开工作的重要指示精神，严格落实《信访工作条例》要求和中央、省委、市委关于政府信息公开的决策部署，以保障群众知情权、参与权、表达权和监督权为核心，扎实推进政府信息公开各项工作，助力法治、创新、廉洁、服务型信访部门建设。全年信息公开工作规范有序、成效显著，有效提升了信访工作的透明度和公信力，为维护群众合法权益、促进社会和谐稳定奠定了坚实基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一）主动公开情况。在咸宁市委、市政府和咸宁市信访工作联席会议的有力领导下，全市信访系统认真学习贯彻落实习近平总书记关于加强和改进人民信访工作的重要思想，进一步畅通和规范群众诉求表达、利益协调、权益保障渠道，依法依规及时就地解决群众合理诉求。每月通过咸宁市信访局门户网站和微信公众号公布全市各区领导干部接待群众来访日程安排。全年在门户网站发布信息32条，通过微信公众号推送信息39篇。</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（二）依申请公开情况。全年共办理政府信息公开申请0件。办理过程中注重与申请人沟通，积极回应群众关切，做好法律法规和政策解释工作。</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（三）政府信息管理情况。严格执行“谁公开谁审查”原则，落实政府信息公开审批制度，建立健全信息公开“四审”机制，对所有拟公开信息按规定程序进行审核把关。</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（四）公开平台建设情况。依据《 国务院办公厅秘书局关于印发政府网站与政务新媒体检查指标、监管工作年度考核指标的通知》要求，完成门户网站改版升级工作并纳入全市政府网站集约化，安排专人负责门户网站和信访微信公众号的日常维护与信息更新。</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五）监督保障情况。我局全面压实信息公开发布审核责任，由办公室牵头，机关其他科室配合，明确职责分工，协同做好政务公开工作。主动畅通社会监督渠道，自觉接受社会各界对门户网站内容的监督评议，不断提升政务公开工作质量。2025年度政府信息公开工作社会评议方面结果良好，无责任追究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b w:val="0"/>
          <w:bCs w:val="0"/>
          <w:color w:val="333333"/>
          <w:sz w:val="32"/>
          <w:szCs w:val="32"/>
        </w:rPr>
      </w:pPr>
      <w:r>
        <w:rPr>
          <w:rFonts w:hint="eastAsia" w:ascii="黑体" w:hAnsi="黑体" w:eastAsia="黑体" w:cs="黑体"/>
          <w:b w:val="0"/>
          <w:bCs w:val="0"/>
          <w:color w:val="333333"/>
          <w:sz w:val="32"/>
          <w:szCs w:val="32"/>
        </w:rPr>
        <w:t>二、主动公开政府信息情况</w:t>
      </w:r>
    </w:p>
    <w:tbl>
      <w:tblPr>
        <w:tblStyle w:val="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105"/>
        <w:gridCol w:w="2105"/>
        <w:gridCol w:w="2105"/>
        <w:gridCol w:w="21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0" w:hRule="atLeast"/>
          <w:jc w:val="center"/>
        </w:trPr>
        <w:tc>
          <w:tcPr>
            <w:tcW w:w="5000" w:type="pct"/>
            <w:gridSpan w:val="4"/>
            <w:tcBorders>
              <w:top w:val="single" w:color="auto" w:sz="8" w:space="0"/>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sz w:val="21"/>
                <w:szCs w:val="21"/>
              </w:rPr>
            </w:pPr>
            <w:r>
              <w:rPr>
                <w:rFonts w:hint="eastAsia" w:ascii="宋体" w:hAnsi="宋体" w:eastAsia="宋体" w:cs="宋体"/>
                <w:color w:val="000000"/>
                <w:kern w:val="0"/>
                <w:sz w:val="21"/>
                <w:szCs w:val="21"/>
                <w:lang w:val="en-US" w:eastAsia="zh-CN" w:bidi="ar"/>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7" w:hRule="atLeast"/>
          <w:jc w:val="center"/>
        </w:trPr>
        <w:tc>
          <w:tcPr>
            <w:tcW w:w="1250" w:type="pct"/>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sz w:val="21"/>
                <w:szCs w:val="21"/>
              </w:rPr>
            </w:pPr>
            <w:r>
              <w:rPr>
                <w:rFonts w:hint="eastAsia" w:ascii="宋体" w:hAnsi="宋体" w:eastAsia="宋体" w:cs="宋体"/>
                <w:color w:val="000000"/>
                <w:kern w:val="0"/>
                <w:sz w:val="21"/>
                <w:szCs w:val="21"/>
                <w:lang w:val="en-US" w:eastAsia="zh-CN" w:bidi="ar"/>
              </w:rPr>
              <w:t>信息内容</w:t>
            </w:r>
          </w:p>
        </w:tc>
        <w:tc>
          <w:tcPr>
            <w:tcW w:w="1250" w:type="pct"/>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sz w:val="21"/>
                <w:szCs w:val="21"/>
              </w:rPr>
            </w:pPr>
            <w:r>
              <w:rPr>
                <w:rFonts w:hint="eastAsia" w:ascii="宋体" w:hAnsi="宋体" w:eastAsia="宋体" w:cs="宋体"/>
                <w:color w:val="000000"/>
                <w:kern w:val="0"/>
                <w:sz w:val="21"/>
                <w:szCs w:val="21"/>
                <w:lang w:val="en-US" w:eastAsia="zh-CN" w:bidi="ar"/>
              </w:rPr>
              <w:t>本年</w:t>
            </w:r>
            <w:r>
              <w:rPr>
                <w:rFonts w:hint="eastAsia" w:ascii="宋体" w:hAnsi="宋体" w:eastAsia="宋体" w:cs="宋体"/>
                <w:color w:val="333333"/>
                <w:kern w:val="0"/>
                <w:sz w:val="21"/>
                <w:szCs w:val="21"/>
                <w:lang w:val="en-US" w:eastAsia="zh-CN" w:bidi="ar"/>
              </w:rPr>
              <w:t>制发件数</w:t>
            </w:r>
          </w:p>
        </w:tc>
        <w:tc>
          <w:tcPr>
            <w:tcW w:w="1250" w:type="pct"/>
            <w:tcBorders>
              <w:top w:val="single" w:color="auto" w:sz="8" w:space="0"/>
              <w:left w:val="nil"/>
              <w:bottom w:val="single" w:color="auto" w:sz="8" w:space="0"/>
              <w:right w:val="single" w:color="auto" w:sz="4"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sz w:val="21"/>
                <w:szCs w:val="21"/>
              </w:rPr>
            </w:pPr>
            <w:r>
              <w:rPr>
                <w:rFonts w:hint="eastAsia" w:ascii="宋体" w:hAnsi="宋体" w:eastAsia="宋体" w:cs="宋体"/>
                <w:color w:val="000000"/>
                <w:kern w:val="0"/>
                <w:sz w:val="21"/>
                <w:szCs w:val="21"/>
                <w:lang w:val="en-US" w:eastAsia="zh-CN" w:bidi="ar"/>
              </w:rPr>
              <w:t>本年废止件数</w:t>
            </w:r>
          </w:p>
        </w:tc>
        <w:tc>
          <w:tcPr>
            <w:tcW w:w="1250" w:type="pct"/>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sz w:val="21"/>
                <w:szCs w:val="21"/>
              </w:rPr>
            </w:pPr>
            <w:r>
              <w:rPr>
                <w:rFonts w:hint="eastAsia" w:ascii="宋体" w:hAnsi="宋体" w:eastAsia="宋体" w:cs="宋体"/>
                <w:color w:val="000000"/>
                <w:kern w:val="0"/>
                <w:sz w:val="21"/>
                <w:szCs w:val="21"/>
                <w:lang w:val="en-US" w:eastAsia="zh-CN" w:bidi="ar"/>
              </w:rPr>
              <w:t>现行有效件</w:t>
            </w:r>
            <w:r>
              <w:rPr>
                <w:rFonts w:hint="eastAsia" w:ascii="宋体" w:hAnsi="宋体" w:eastAsia="宋体" w:cs="宋体"/>
                <w:color w:val="333333"/>
                <w:kern w:val="0"/>
                <w:sz w:val="21"/>
                <w:szCs w:val="21"/>
                <w:lang w:val="en-US" w:eastAsia="zh-CN" w:bidi="ar"/>
              </w:rPr>
              <w:t>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7" w:hRule="atLeast"/>
          <w:jc w:val="center"/>
        </w:trPr>
        <w:tc>
          <w:tcPr>
            <w:tcW w:w="1250" w:type="pct"/>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sz w:val="21"/>
                <w:szCs w:val="21"/>
              </w:rPr>
            </w:pPr>
            <w:r>
              <w:rPr>
                <w:rFonts w:hint="eastAsia" w:ascii="宋体" w:hAnsi="宋体" w:eastAsia="宋体" w:cs="宋体"/>
                <w:color w:val="000000"/>
                <w:kern w:val="0"/>
                <w:sz w:val="21"/>
                <w:szCs w:val="21"/>
                <w:lang w:val="en-US" w:eastAsia="zh-CN" w:bidi="ar"/>
              </w:rPr>
              <w:t>规章</w:t>
            </w:r>
          </w:p>
        </w:tc>
        <w:tc>
          <w:tcPr>
            <w:tcW w:w="1250" w:type="pc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default"/>
                <w:sz w:val="21"/>
                <w:szCs w:val="21"/>
                <w:lang w:val="en"/>
              </w:rPr>
            </w:pPr>
            <w:r>
              <w:rPr>
                <w:rFonts w:hint="default" w:ascii="宋体" w:hAnsi="宋体" w:eastAsia="宋体" w:cs="宋体"/>
                <w:color w:val="000000"/>
                <w:kern w:val="0"/>
                <w:sz w:val="21"/>
                <w:szCs w:val="21"/>
                <w:lang w:val="en" w:eastAsia="zh-CN" w:bidi="ar"/>
              </w:rPr>
              <w:t>0</w:t>
            </w:r>
          </w:p>
        </w:tc>
        <w:tc>
          <w:tcPr>
            <w:tcW w:w="1250" w:type="pct"/>
            <w:tcBorders>
              <w:top w:val="nil"/>
              <w:left w:val="nil"/>
              <w:bottom w:val="single" w:color="auto" w:sz="8" w:space="0"/>
              <w:right w:val="single" w:color="auto" w:sz="4"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default"/>
                <w:sz w:val="21"/>
                <w:szCs w:val="21"/>
                <w:lang w:val="en"/>
              </w:rPr>
            </w:pPr>
            <w:r>
              <w:rPr>
                <w:rFonts w:hint="default" w:ascii="宋体" w:hAnsi="宋体" w:eastAsia="宋体" w:cs="宋体"/>
                <w:color w:val="000000"/>
                <w:kern w:val="0"/>
                <w:sz w:val="21"/>
                <w:szCs w:val="21"/>
                <w:lang w:val="en" w:eastAsia="zh-CN" w:bidi="ar"/>
              </w:rPr>
              <w:t>0</w:t>
            </w:r>
          </w:p>
        </w:tc>
        <w:tc>
          <w:tcPr>
            <w:tcW w:w="1250" w:type="pc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default"/>
                <w:sz w:val="21"/>
                <w:szCs w:val="21"/>
                <w:lang w:val="en"/>
              </w:rPr>
            </w:pPr>
            <w:r>
              <w:rPr>
                <w:rFonts w:hint="default" w:ascii="Calibri" w:hAnsi="Calibri" w:eastAsia="宋体" w:cs="Calibri"/>
                <w:color w:val="333333"/>
                <w:kern w:val="2"/>
                <w:sz w:val="21"/>
                <w:szCs w:val="21"/>
                <w:lang w:val="en"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27" w:hRule="atLeast"/>
          <w:jc w:val="center"/>
        </w:trPr>
        <w:tc>
          <w:tcPr>
            <w:tcW w:w="1250" w:type="pct"/>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sz w:val="21"/>
                <w:szCs w:val="21"/>
              </w:rPr>
            </w:pPr>
            <w:r>
              <w:rPr>
                <w:rFonts w:hint="eastAsia" w:ascii="宋体" w:hAnsi="宋体" w:eastAsia="宋体" w:cs="宋体"/>
                <w:color w:val="000000"/>
                <w:kern w:val="0"/>
                <w:sz w:val="21"/>
                <w:szCs w:val="21"/>
                <w:lang w:val="en-US" w:eastAsia="zh-CN" w:bidi="ar"/>
              </w:rPr>
              <w:t>行政规范性文件</w:t>
            </w:r>
          </w:p>
        </w:tc>
        <w:tc>
          <w:tcPr>
            <w:tcW w:w="1250" w:type="pc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default"/>
                <w:sz w:val="21"/>
                <w:szCs w:val="21"/>
                <w:lang w:val="en"/>
              </w:rPr>
            </w:pPr>
            <w:r>
              <w:rPr>
                <w:rFonts w:hint="default" w:ascii="宋体" w:hAnsi="宋体" w:eastAsia="宋体" w:cs="宋体"/>
                <w:color w:val="000000"/>
                <w:kern w:val="0"/>
                <w:sz w:val="21"/>
                <w:szCs w:val="21"/>
                <w:lang w:val="en" w:eastAsia="zh-CN" w:bidi="ar"/>
              </w:rPr>
              <w:t>0</w:t>
            </w:r>
          </w:p>
        </w:tc>
        <w:tc>
          <w:tcPr>
            <w:tcW w:w="1250" w:type="pct"/>
            <w:tcBorders>
              <w:top w:val="nil"/>
              <w:left w:val="nil"/>
              <w:bottom w:val="single" w:color="auto" w:sz="8" w:space="0"/>
              <w:right w:val="single" w:color="auto" w:sz="4"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default"/>
                <w:sz w:val="21"/>
                <w:szCs w:val="21"/>
                <w:lang w:val="en"/>
              </w:rPr>
            </w:pPr>
            <w:r>
              <w:rPr>
                <w:rFonts w:hint="default" w:ascii="宋体" w:hAnsi="宋体" w:eastAsia="宋体" w:cs="宋体"/>
                <w:color w:val="000000"/>
                <w:kern w:val="0"/>
                <w:sz w:val="21"/>
                <w:szCs w:val="21"/>
                <w:lang w:val="en" w:eastAsia="zh-CN" w:bidi="ar"/>
              </w:rPr>
              <w:t>0</w:t>
            </w:r>
          </w:p>
        </w:tc>
        <w:tc>
          <w:tcPr>
            <w:tcW w:w="1250" w:type="pct"/>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default"/>
                <w:sz w:val="21"/>
                <w:szCs w:val="21"/>
                <w:lang w:val="en"/>
              </w:rPr>
            </w:pPr>
            <w:r>
              <w:rPr>
                <w:rFonts w:hint="default" w:ascii="Calibri" w:hAnsi="Calibri" w:eastAsia="宋体" w:cs="Calibri"/>
                <w:color w:val="333333"/>
                <w:kern w:val="2"/>
                <w:sz w:val="21"/>
                <w:szCs w:val="21"/>
                <w:lang w:val="en"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5000" w:type="pct"/>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sz w:val="21"/>
                <w:szCs w:val="21"/>
              </w:rPr>
            </w:pPr>
            <w:r>
              <w:rPr>
                <w:rFonts w:hint="eastAsia" w:ascii="宋体" w:hAnsi="宋体" w:eastAsia="宋体" w:cs="宋体"/>
                <w:color w:val="000000"/>
                <w:kern w:val="0"/>
                <w:sz w:val="21"/>
                <w:szCs w:val="21"/>
                <w:lang w:val="en-US" w:eastAsia="zh-CN" w:bidi="ar"/>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1250" w:type="pct"/>
            <w:tcBorders>
              <w:top w:val="nil"/>
              <w:left w:val="single" w:color="auto" w:sz="8" w:space="0"/>
              <w:bottom w:val="single" w:color="auto" w:sz="8" w:space="0"/>
              <w:right w:val="single" w:color="auto" w:sz="4"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sz w:val="21"/>
                <w:szCs w:val="21"/>
              </w:rPr>
            </w:pPr>
            <w:r>
              <w:rPr>
                <w:rFonts w:hint="eastAsia" w:ascii="宋体" w:hAnsi="宋体" w:eastAsia="宋体" w:cs="宋体"/>
                <w:color w:val="000000"/>
                <w:kern w:val="0"/>
                <w:sz w:val="21"/>
                <w:szCs w:val="21"/>
                <w:lang w:val="en-US" w:eastAsia="zh-CN" w:bidi="ar"/>
              </w:rPr>
              <w:t>信息内容</w:t>
            </w:r>
          </w:p>
        </w:tc>
        <w:tc>
          <w:tcPr>
            <w:tcW w:w="3750" w:type="pct"/>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sz w:val="21"/>
                <w:szCs w:val="21"/>
              </w:rPr>
            </w:pPr>
            <w:r>
              <w:rPr>
                <w:rFonts w:hint="eastAsia" w:ascii="宋体" w:hAnsi="宋体" w:eastAsia="宋体" w:cs="宋体"/>
                <w:color w:val="000000"/>
                <w:kern w:val="0"/>
                <w:sz w:val="21"/>
                <w:szCs w:val="21"/>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1250" w:type="pct"/>
            <w:tcBorders>
              <w:top w:val="single" w:color="auto" w:sz="8" w:space="0"/>
              <w:left w:val="single" w:color="auto" w:sz="8" w:space="0"/>
              <w:bottom w:val="single" w:color="auto" w:sz="8" w:space="0"/>
              <w:right w:val="single" w:color="auto" w:sz="4"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sz w:val="21"/>
                <w:szCs w:val="21"/>
              </w:rPr>
            </w:pPr>
            <w:r>
              <w:rPr>
                <w:rFonts w:hint="eastAsia" w:ascii="宋体" w:hAnsi="宋体" w:eastAsia="宋体" w:cs="宋体"/>
                <w:color w:val="000000"/>
                <w:kern w:val="0"/>
                <w:sz w:val="21"/>
                <w:szCs w:val="21"/>
                <w:lang w:val="en-US" w:eastAsia="zh-CN" w:bidi="ar"/>
              </w:rPr>
              <w:t>行政许可</w:t>
            </w:r>
          </w:p>
        </w:tc>
        <w:tc>
          <w:tcPr>
            <w:tcW w:w="3750" w:type="pct"/>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default"/>
                <w:sz w:val="21"/>
                <w:szCs w:val="21"/>
                <w:lang w:val="en"/>
              </w:rPr>
            </w:pPr>
            <w:r>
              <w:rPr>
                <w:rFonts w:hint="default" w:ascii="Calibri" w:hAnsi="Calibri" w:eastAsia="宋体" w:cs="Calibri"/>
                <w:color w:val="333333"/>
                <w:kern w:val="2"/>
                <w:sz w:val="21"/>
                <w:szCs w:val="21"/>
                <w:lang w:val="en"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5000" w:type="pct"/>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sz w:val="21"/>
                <w:szCs w:val="21"/>
              </w:rPr>
            </w:pPr>
            <w:r>
              <w:rPr>
                <w:rFonts w:hint="eastAsia" w:ascii="宋体" w:hAnsi="宋体" w:eastAsia="宋体" w:cs="宋体"/>
                <w:color w:val="000000"/>
                <w:kern w:val="0"/>
                <w:sz w:val="21"/>
                <w:szCs w:val="21"/>
                <w:lang w:val="en-US" w:eastAsia="zh-CN" w:bidi="ar"/>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1250" w:type="pct"/>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rPr>
                <w:sz w:val="21"/>
                <w:szCs w:val="21"/>
              </w:rPr>
            </w:pPr>
            <w:r>
              <w:rPr>
                <w:rFonts w:hint="eastAsia" w:ascii="宋体" w:hAnsi="宋体" w:eastAsia="宋体" w:cs="宋体"/>
                <w:color w:val="000000"/>
                <w:kern w:val="0"/>
                <w:sz w:val="21"/>
                <w:szCs w:val="21"/>
                <w:lang w:val="en-US" w:eastAsia="zh-CN" w:bidi="ar"/>
              </w:rPr>
              <w:t>信息内容</w:t>
            </w:r>
          </w:p>
        </w:tc>
        <w:tc>
          <w:tcPr>
            <w:tcW w:w="3750" w:type="pct"/>
            <w:gridSpan w:val="3"/>
            <w:tcBorders>
              <w:top w:val="single" w:color="auto" w:sz="8" w:space="0"/>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rPr>
                <w:sz w:val="21"/>
                <w:szCs w:val="21"/>
              </w:rPr>
            </w:pPr>
            <w:r>
              <w:rPr>
                <w:rFonts w:hint="eastAsia" w:ascii="宋体" w:hAnsi="宋体" w:eastAsia="宋体" w:cs="宋体"/>
                <w:color w:val="000000"/>
                <w:kern w:val="0"/>
                <w:sz w:val="21"/>
                <w:szCs w:val="21"/>
                <w:lang w:val="en-US" w:eastAsia="zh-CN" w:bidi="ar"/>
              </w:rPr>
              <w:t>本年处理决定数量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1250" w:type="pct"/>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sz w:val="21"/>
                <w:szCs w:val="21"/>
              </w:rPr>
            </w:pPr>
            <w:r>
              <w:rPr>
                <w:rFonts w:hint="eastAsia" w:ascii="宋体" w:hAnsi="宋体" w:eastAsia="宋体" w:cs="宋体"/>
                <w:color w:val="000000"/>
                <w:kern w:val="0"/>
                <w:sz w:val="21"/>
                <w:szCs w:val="21"/>
                <w:lang w:val="en-US" w:eastAsia="zh-CN" w:bidi="ar"/>
              </w:rPr>
              <w:t>行政处罚</w:t>
            </w:r>
          </w:p>
        </w:tc>
        <w:tc>
          <w:tcPr>
            <w:tcW w:w="3750" w:type="pct"/>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default"/>
                <w:sz w:val="21"/>
                <w:szCs w:val="21"/>
                <w:lang w:val="en"/>
              </w:rPr>
            </w:pPr>
            <w:r>
              <w:rPr>
                <w:rFonts w:hint="default" w:ascii="宋体" w:hAnsi="宋体" w:eastAsia="宋体" w:cs="宋体"/>
                <w:color w:val="000000"/>
                <w:kern w:val="0"/>
                <w:sz w:val="21"/>
                <w:szCs w:val="21"/>
                <w:lang w:val="en"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1250" w:type="pct"/>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sz w:val="21"/>
                <w:szCs w:val="21"/>
              </w:rPr>
            </w:pPr>
            <w:r>
              <w:rPr>
                <w:rFonts w:hint="eastAsia" w:ascii="宋体" w:hAnsi="宋体" w:eastAsia="宋体" w:cs="宋体"/>
                <w:color w:val="000000"/>
                <w:kern w:val="0"/>
                <w:sz w:val="21"/>
                <w:szCs w:val="21"/>
                <w:lang w:val="en-US" w:eastAsia="zh-CN" w:bidi="ar"/>
              </w:rPr>
              <w:t>行政强制</w:t>
            </w:r>
          </w:p>
        </w:tc>
        <w:tc>
          <w:tcPr>
            <w:tcW w:w="3750" w:type="pct"/>
            <w:gridSpan w:val="3"/>
            <w:tcBorders>
              <w:top w:val="nil"/>
              <w:left w:val="nil"/>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default"/>
                <w:sz w:val="21"/>
                <w:szCs w:val="21"/>
                <w:lang w:val="en"/>
              </w:rPr>
            </w:pPr>
            <w:r>
              <w:rPr>
                <w:rFonts w:hint="default" w:ascii="宋体" w:hAnsi="宋体" w:eastAsia="宋体" w:cs="宋体"/>
                <w:color w:val="000000"/>
                <w:kern w:val="0"/>
                <w:sz w:val="21"/>
                <w:szCs w:val="21"/>
                <w:lang w:val="en"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5000" w:type="pct"/>
            <w:gridSpan w:val="4"/>
            <w:tcBorders>
              <w:top w:val="nil"/>
              <w:left w:val="single" w:color="auto" w:sz="8" w:space="0"/>
              <w:bottom w:val="single" w:color="auto" w:sz="8" w:space="0"/>
              <w:right w:val="single" w:color="auto" w:sz="8" w:space="0"/>
            </w:tcBorders>
            <w:shd w:val="clear" w:color="auto" w:fill="C6D9F1"/>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sz w:val="21"/>
                <w:szCs w:val="21"/>
              </w:rPr>
            </w:pPr>
            <w:r>
              <w:rPr>
                <w:rFonts w:hint="eastAsia" w:ascii="宋体" w:hAnsi="宋体" w:eastAsia="宋体" w:cs="宋体"/>
                <w:color w:val="000000"/>
                <w:kern w:val="0"/>
                <w:sz w:val="21"/>
                <w:szCs w:val="21"/>
                <w:lang w:val="en-US" w:eastAsia="zh-CN" w:bidi="ar"/>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40" w:hRule="atLeast"/>
          <w:jc w:val="center"/>
        </w:trPr>
        <w:tc>
          <w:tcPr>
            <w:tcW w:w="1250" w:type="pct"/>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sz w:val="21"/>
                <w:szCs w:val="21"/>
              </w:rPr>
            </w:pPr>
            <w:r>
              <w:rPr>
                <w:rFonts w:hint="eastAsia" w:ascii="宋体" w:hAnsi="宋体" w:eastAsia="宋体" w:cs="宋体"/>
                <w:color w:val="000000"/>
                <w:kern w:val="0"/>
                <w:sz w:val="21"/>
                <w:szCs w:val="21"/>
                <w:lang w:val="en-US" w:eastAsia="zh-CN" w:bidi="ar"/>
              </w:rPr>
              <w:t>信息内容</w:t>
            </w:r>
          </w:p>
        </w:tc>
        <w:tc>
          <w:tcPr>
            <w:tcW w:w="3750" w:type="pct"/>
            <w:gridSpan w:val="3"/>
            <w:tcBorders>
              <w:top w:val="nil"/>
              <w:left w:val="nil"/>
              <w:bottom w:val="single" w:color="auto" w:sz="8" w:space="0"/>
              <w:right w:val="single" w:color="000000"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sz w:val="21"/>
                <w:szCs w:val="21"/>
              </w:rPr>
            </w:pPr>
            <w:r>
              <w:rPr>
                <w:rFonts w:hint="eastAsia" w:ascii="宋体" w:hAnsi="宋体" w:eastAsia="宋体" w:cs="宋体"/>
                <w:color w:val="000000"/>
                <w:kern w:val="0"/>
                <w:sz w:val="21"/>
                <w:szCs w:val="21"/>
                <w:lang w:val="en-US" w:eastAsia="zh-CN" w:bidi="ar"/>
              </w:rPr>
              <w:t>本年收费金额（单位：万元）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70" w:hRule="atLeast"/>
          <w:jc w:val="center"/>
        </w:trPr>
        <w:tc>
          <w:tcPr>
            <w:tcW w:w="1250" w:type="pct"/>
            <w:tcBorders>
              <w:top w:val="nil"/>
              <w:left w:val="single" w:color="auto" w:sz="8" w:space="0"/>
              <w:bottom w:val="single" w:color="auto" w:sz="8" w:space="0"/>
              <w:right w:val="single" w:color="auto" w:sz="8" w:space="0"/>
            </w:tcBorders>
            <w:shd w:val="clear" w:color="auto" w:fill="auto"/>
            <w:tcMar>
              <w:left w:w="57" w:type="dxa"/>
              <w:right w:w="57"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sz w:val="21"/>
                <w:szCs w:val="21"/>
              </w:rPr>
            </w:pPr>
            <w:r>
              <w:rPr>
                <w:rFonts w:hint="eastAsia" w:ascii="宋体" w:hAnsi="宋体" w:eastAsia="宋体" w:cs="宋体"/>
                <w:color w:val="000000"/>
                <w:kern w:val="0"/>
                <w:sz w:val="21"/>
                <w:szCs w:val="21"/>
                <w:lang w:val="en-US" w:eastAsia="zh-CN" w:bidi="ar"/>
              </w:rPr>
              <w:t>行政事业性收费</w:t>
            </w:r>
          </w:p>
        </w:tc>
        <w:tc>
          <w:tcPr>
            <w:tcW w:w="3750" w:type="pct"/>
            <w:gridSpan w:val="3"/>
            <w:tcBorders>
              <w:top w:val="nil"/>
              <w:left w:val="nil"/>
              <w:bottom w:val="single" w:color="auto" w:sz="8" w:space="0"/>
              <w:right w:val="single" w:color="000000" w:sz="8" w:space="0"/>
            </w:tcBorders>
            <w:shd w:val="clear" w:color="auto" w:fill="auto"/>
            <w:tcMar>
              <w:left w:w="57" w:type="dxa"/>
              <w:right w:w="57" w:type="dxa"/>
            </w:tcMar>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default" w:ascii="宋体" w:hAnsi="宋体" w:eastAsia="宋体" w:cs="宋体"/>
                <w:color w:val="333333"/>
                <w:sz w:val="21"/>
                <w:szCs w:val="21"/>
                <w:lang w:val="en"/>
              </w:rPr>
            </w:pPr>
            <w:r>
              <w:rPr>
                <w:rFonts w:hint="default" w:ascii="宋体" w:hAnsi="宋体" w:eastAsia="宋体" w:cs="宋体"/>
                <w:color w:val="333333"/>
                <w:sz w:val="21"/>
                <w:szCs w:val="21"/>
                <w:lang w:val="en"/>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val="0"/>
          <w:color w:val="333333"/>
          <w:sz w:val="32"/>
          <w:szCs w:val="32"/>
        </w:rPr>
      </w:pPr>
      <w:bookmarkStart w:id="0" w:name="_GoBack"/>
      <w:bookmarkEnd w:id="0"/>
      <w:r>
        <w:rPr>
          <w:rFonts w:hint="eastAsia" w:ascii="黑体" w:hAnsi="黑体" w:eastAsia="黑体" w:cs="黑体"/>
          <w:b w:val="0"/>
          <w:bCs w:val="0"/>
          <w:color w:val="333333"/>
          <w:sz w:val="32"/>
          <w:szCs w:val="32"/>
        </w:rPr>
        <w:t>三、收到和处理政府信息公开申请情况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2025年，咸宁市信访局未收到公民、法人或其他组织提出的政府信息公开申请，上年无结转申请，本年度未发生相关申请办理事项。具体情况如下表所示：</w:t>
      </w:r>
    </w:p>
    <w:tbl>
      <w:tblPr>
        <w:tblStyle w:val="3"/>
        <w:tblW w:w="4999"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57" w:type="dxa"/>
          <w:bottom w:w="0" w:type="dxa"/>
          <w:right w:w="57" w:type="dxa"/>
        </w:tblCellMar>
      </w:tblPr>
      <w:tblGrid>
        <w:gridCol w:w="653"/>
        <w:gridCol w:w="798"/>
        <w:gridCol w:w="2847"/>
        <w:gridCol w:w="595"/>
        <w:gridCol w:w="595"/>
        <w:gridCol w:w="595"/>
        <w:gridCol w:w="595"/>
        <w:gridCol w:w="595"/>
        <w:gridCol w:w="600"/>
        <w:gridCol w:w="59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57" w:type="dxa"/>
            <w:bottom w:w="0" w:type="dxa"/>
            <w:right w:w="57" w:type="dxa"/>
          </w:tblCellMar>
        </w:tblPrEx>
        <w:trPr>
          <w:jc w:val="center"/>
        </w:trPr>
        <w:tc>
          <w:tcPr>
            <w:tcW w:w="2539" w:type="pct"/>
            <w:gridSpan w:val="3"/>
            <w:vMerge w:val="restart"/>
            <w:tcBorders>
              <w:top w:val="single" w:color="auto" w:sz="8" w:space="0"/>
              <w:left w:val="single" w:color="auto" w:sz="8" w:space="0"/>
              <w:bottom w:val="outset" w:color="auto" w:sz="6" w:space="0"/>
              <w:right w:val="single" w:color="auto" w:sz="8" w:space="0"/>
            </w:tcBorders>
            <w:shd w:val="clear" w:color="auto" w:fill="auto"/>
            <w:tcMar>
              <w:left w:w="108" w:type="dxa"/>
              <w:right w:w="108" w:type="dxa"/>
            </w:tcMar>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pPr>
            <w:r>
              <w:rPr>
                <w:rFonts w:hint="eastAsia" w:ascii="楷体" w:hAnsi="楷体" w:eastAsia="楷体" w:cs="楷体"/>
                <w:color w:val="333333"/>
                <w:kern w:val="0"/>
                <w:sz w:val="20"/>
                <w:szCs w:val="20"/>
                <w:lang w:val="en-US" w:eastAsia="zh-CN" w:bidi="ar"/>
              </w:rPr>
              <w:t>（本列数据的勾稽关系为：第一项加第二项之和，等于第三项加第四项之和）</w:t>
            </w:r>
          </w:p>
        </w:tc>
        <w:tc>
          <w:tcPr>
            <w:tcW w:w="2460" w:type="pct"/>
            <w:gridSpan w:val="7"/>
            <w:tcBorders>
              <w:top w:val="single" w:color="auto" w:sz="8" w:space="0"/>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2539" w:type="pct"/>
            <w:gridSpan w:val="3"/>
            <w:vMerge w:val="continue"/>
            <w:tcBorders>
              <w:top w:val="single" w:color="auto" w:sz="8" w:space="0"/>
              <w:left w:val="single" w:color="auto" w:sz="8" w:space="0"/>
              <w:bottom w:val="outset" w:color="auto" w:sz="6"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33333"/>
                <w:sz w:val="21"/>
                <w:szCs w:val="21"/>
              </w:rPr>
            </w:pPr>
          </w:p>
        </w:tc>
        <w:tc>
          <w:tcPr>
            <w:tcW w:w="351" w:type="pct"/>
            <w:vMerge w:val="restar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自然人</w:t>
            </w:r>
          </w:p>
        </w:tc>
        <w:tc>
          <w:tcPr>
            <w:tcW w:w="1758" w:type="pct"/>
            <w:gridSpan w:val="5"/>
            <w:tcBorders>
              <w:top w:val="single" w:color="auto" w:sz="8" w:space="0"/>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法人或其他组织</w:t>
            </w:r>
          </w:p>
        </w:tc>
        <w:tc>
          <w:tcPr>
            <w:tcW w:w="351" w:type="pct"/>
            <w:vMerge w:val="restart"/>
            <w:tcBorders>
              <w:top w:val="single" w:color="auto" w:sz="8" w:space="0"/>
              <w:left w:val="nil"/>
              <w:bottom w:val="outset" w:color="auto" w:sz="6"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2539" w:type="pct"/>
            <w:gridSpan w:val="3"/>
            <w:vMerge w:val="continue"/>
            <w:tcBorders>
              <w:top w:val="single" w:color="auto" w:sz="8" w:space="0"/>
              <w:left w:val="single" w:color="auto" w:sz="8" w:space="0"/>
              <w:bottom w:val="outset" w:color="auto" w:sz="6" w:space="0"/>
              <w:right w:val="single" w:color="auto" w:sz="8" w:space="0"/>
            </w:tcBorders>
            <w:shd w:val="clear" w:color="auto" w:fill="auto"/>
            <w:tcMar>
              <w:left w:w="108" w:type="dxa"/>
              <w:right w:w="108" w:type="dxa"/>
            </w:tcMar>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33333"/>
                <w:sz w:val="21"/>
                <w:szCs w:val="21"/>
              </w:rPr>
            </w:pPr>
          </w:p>
        </w:tc>
        <w:tc>
          <w:tcPr>
            <w:tcW w:w="351" w:type="pct"/>
            <w:vMerge w:val="continue"/>
            <w:tcBorders>
              <w:top w:val="nil"/>
              <w:left w:val="nil"/>
              <w:bottom w:val="single" w:color="auto" w:sz="8"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33333"/>
                <w:sz w:val="21"/>
                <w:szCs w:val="21"/>
              </w:rPr>
            </w:pP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商业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企业</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科研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机构</w:t>
            </w:r>
          </w:p>
        </w:tc>
        <w:tc>
          <w:tcPr>
            <w:tcW w:w="351" w:type="pct"/>
            <w:tcBorders>
              <w:top w:val="single" w:color="auto" w:sz="8" w:space="0"/>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社会公益组织</w:t>
            </w:r>
          </w:p>
        </w:tc>
        <w:tc>
          <w:tcPr>
            <w:tcW w:w="351" w:type="pct"/>
            <w:tcBorders>
              <w:top w:val="single" w:color="auto" w:sz="8" w:space="0"/>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法律服务机构</w:t>
            </w:r>
          </w:p>
        </w:tc>
        <w:tc>
          <w:tcPr>
            <w:tcW w:w="352" w:type="pct"/>
            <w:tcBorders>
              <w:top w:val="single" w:color="auto" w:sz="8" w:space="0"/>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其他</w:t>
            </w:r>
          </w:p>
        </w:tc>
        <w:tc>
          <w:tcPr>
            <w:tcW w:w="351" w:type="pct"/>
            <w:vMerge w:val="continue"/>
            <w:tcBorders>
              <w:top w:val="single" w:color="auto" w:sz="8" w:space="0"/>
              <w:left w:val="nil"/>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33333"/>
                <w:sz w:val="21"/>
                <w:szCs w:val="21"/>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2539" w:type="pct"/>
            <w:gridSpan w:val="3"/>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一、本年新收政府信息公开申请数量</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2539" w:type="pct"/>
            <w:gridSpan w:val="3"/>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二、上年结转政府信息公开申请数量</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p>
        </w:tc>
        <w:tc>
          <w:tcPr>
            <w:tcW w:w="352"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6" w:type="pct"/>
            <w:vMerge w:val="restart"/>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三、本年度办理结果</w:t>
            </w:r>
          </w:p>
        </w:tc>
        <w:tc>
          <w:tcPr>
            <w:tcW w:w="2152" w:type="pct"/>
            <w:gridSpan w:val="2"/>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（一）予以公开</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2152" w:type="pct"/>
            <w:gridSpan w:val="2"/>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（二）部分公开（区分处理的，只计这一情形，不计其他情形）</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restart"/>
            <w:tcBorders>
              <w:top w:val="nil"/>
              <w:left w:val="nil"/>
              <w:bottom w:val="outset" w:color="auto" w:sz="6"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（三）不予公开</w:t>
            </w:r>
          </w:p>
        </w:tc>
        <w:tc>
          <w:tcPr>
            <w:tcW w:w="1679"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1.属于国家秘密</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continue"/>
            <w:tcBorders>
              <w:top w:val="nil"/>
              <w:left w:val="nil"/>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1679"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2.其他法律行政法规禁止公开</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continue"/>
            <w:tcBorders>
              <w:top w:val="nil"/>
              <w:left w:val="nil"/>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1679"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3.危及“三安全一稳定”</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continue"/>
            <w:tcBorders>
              <w:top w:val="nil"/>
              <w:left w:val="nil"/>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1679"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4.保护第三方合法权益</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continue"/>
            <w:tcBorders>
              <w:top w:val="nil"/>
              <w:left w:val="nil"/>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1679"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5.属于三类内部事务信息</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continue"/>
            <w:tcBorders>
              <w:top w:val="nil"/>
              <w:left w:val="nil"/>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1679"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6.属于四类过程性信息</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continue"/>
            <w:tcBorders>
              <w:top w:val="nil"/>
              <w:left w:val="nil"/>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1679"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7.属于行政执法案卷</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continue"/>
            <w:tcBorders>
              <w:top w:val="nil"/>
              <w:left w:val="nil"/>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1679"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8.属于行政查询事项</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restart"/>
            <w:tcBorders>
              <w:top w:val="nil"/>
              <w:left w:val="nil"/>
              <w:bottom w:val="outset" w:color="auto" w:sz="6"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（四）无法提供</w:t>
            </w:r>
          </w:p>
        </w:tc>
        <w:tc>
          <w:tcPr>
            <w:tcW w:w="1679"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1.本机关不掌握相关政府信息</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continue"/>
            <w:tcBorders>
              <w:top w:val="nil"/>
              <w:left w:val="nil"/>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1679"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2.没有现成信息需要另行制作</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continue"/>
            <w:tcBorders>
              <w:top w:val="nil"/>
              <w:left w:val="nil"/>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1679"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3.补正后申请内容仍不明确</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restart"/>
            <w:tcBorders>
              <w:top w:val="nil"/>
              <w:left w:val="nil"/>
              <w:bottom w:val="outset" w:color="auto" w:sz="6"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（五）不予处理</w:t>
            </w:r>
          </w:p>
        </w:tc>
        <w:tc>
          <w:tcPr>
            <w:tcW w:w="1679"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1.信访举报投诉类申请</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continue"/>
            <w:tcBorders>
              <w:top w:val="nil"/>
              <w:left w:val="nil"/>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1679"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2.重复申请</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continue"/>
            <w:tcBorders>
              <w:top w:val="nil"/>
              <w:left w:val="nil"/>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1679"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3.要求提供公开出版物</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continue"/>
            <w:tcBorders>
              <w:top w:val="nil"/>
              <w:left w:val="nil"/>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1679"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4.无正当理由大量反复申请</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single" w:color="auto" w:sz="8" w:space="0"/>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trHeight w:val="779" w:hRule="atLeast"/>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continue"/>
            <w:tcBorders>
              <w:top w:val="nil"/>
              <w:left w:val="nil"/>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1679" w:type="pct"/>
            <w:tcBorders>
              <w:top w:val="nil"/>
              <w:left w:val="nil"/>
              <w:bottom w:val="outset" w:color="auto" w:sz="6"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5.要求行政机关确认或重新出具已获取信息</w:t>
            </w:r>
          </w:p>
        </w:tc>
        <w:tc>
          <w:tcPr>
            <w:tcW w:w="351" w:type="pct"/>
            <w:tcBorders>
              <w:top w:val="nil"/>
              <w:left w:val="nil"/>
              <w:bottom w:val="outset" w:color="auto" w:sz="6"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outset" w:color="auto" w:sz="6"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outset" w:color="auto" w:sz="6"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outset" w:color="auto" w:sz="6"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outset" w:color="auto" w:sz="6"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outset" w:color="auto" w:sz="6"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outset" w:color="auto" w:sz="6"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restart"/>
            <w:tcBorders>
              <w:top w:val="outset" w:color="auto" w:sz="6" w:space="0"/>
              <w:left w:val="nil"/>
              <w:bottom w:val="outset" w:color="auto" w:sz="6"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（六）其他处理</w:t>
            </w:r>
          </w:p>
        </w:tc>
        <w:tc>
          <w:tcPr>
            <w:tcW w:w="1679"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1.申请人无正当理由逾期不补正、行政机关不再处理其政府信息公开申请</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continue"/>
            <w:tcBorders>
              <w:top w:val="outset" w:color="auto" w:sz="6" w:space="0"/>
              <w:left w:val="nil"/>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1679"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2.申请人逾期未按收费通知要求缴纳费用、行政机关不再处理其政府信息公开申请</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472" w:type="pct"/>
            <w:vMerge w:val="continue"/>
            <w:tcBorders>
              <w:top w:val="outset" w:color="auto" w:sz="6" w:space="0"/>
              <w:left w:val="nil"/>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1679"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3.其他</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386" w:type="pct"/>
            <w:vMerge w:val="continue"/>
            <w:tcBorders>
              <w:top w:val="nil"/>
              <w:left w:val="single" w:color="auto" w:sz="8" w:space="0"/>
              <w:bottom w:val="outset" w:color="auto" w:sz="6" w:space="0"/>
              <w:right w:val="single" w:color="auto"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Theme="minorEastAsia" w:hAnsiTheme="minorEastAsia" w:eastAsiaTheme="minorEastAsia" w:cstheme="minorEastAsia"/>
                <w:color w:val="333333"/>
                <w:sz w:val="21"/>
                <w:szCs w:val="21"/>
              </w:rPr>
            </w:pPr>
          </w:p>
        </w:tc>
        <w:tc>
          <w:tcPr>
            <w:tcW w:w="2152" w:type="pct"/>
            <w:gridSpan w:val="2"/>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（七）总计</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57" w:type="dxa"/>
            <w:bottom w:w="0" w:type="dxa"/>
            <w:right w:w="57" w:type="dxa"/>
          </w:tblCellMar>
        </w:tblPrEx>
        <w:trPr>
          <w:jc w:val="center"/>
        </w:trPr>
        <w:tc>
          <w:tcPr>
            <w:tcW w:w="2539" w:type="pct"/>
            <w:gridSpan w:val="3"/>
            <w:tcBorders>
              <w:top w:val="nil"/>
              <w:left w:val="single" w:color="auto" w:sz="8" w:space="0"/>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333333"/>
                <w:kern w:val="0"/>
                <w:sz w:val="21"/>
                <w:szCs w:val="21"/>
                <w:lang w:val="en-US" w:eastAsia="zh-CN" w:bidi="ar"/>
              </w:rPr>
              <w:t>四、结转下年度继续办理</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r>
              <w:rPr>
                <w:rFonts w:hint="eastAsia" w:ascii="宋体" w:hAnsi="宋体" w:eastAsia="宋体" w:cs="宋体"/>
                <w:color w:val="333333"/>
                <w:kern w:val="0"/>
                <w:sz w:val="21"/>
                <w:szCs w:val="21"/>
                <w:lang w:val="en-US" w:eastAsia="zh-CN" w:bidi="ar"/>
              </w:rPr>
              <w:t> </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2" w:type="pct"/>
            <w:tcBorders>
              <w:top w:val="nil"/>
              <w:left w:val="nil"/>
              <w:bottom w:val="single" w:color="auto" w:sz="8" w:space="0"/>
              <w:right w:val="single" w:color="auto" w:sz="8"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right="0"/>
              <w:jc w:val="center"/>
              <w:textAlignment w:val="auto"/>
              <w:rPr>
                <w:rFonts w:hint="eastAsia" w:ascii="宋体" w:hAnsi="宋体" w:eastAsia="宋体" w:cs="宋体"/>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51" w:type="pct"/>
            <w:tcBorders>
              <w:top w:val="nil"/>
              <w:left w:val="nil"/>
              <w:bottom w:val="single" w:color="auto" w:sz="8" w:space="0"/>
              <w:right w:val="single" w:color="auto" w:sz="8" w:space="0"/>
            </w:tcBorders>
            <w:shd w:val="clear" w:color="auto" w:fill="auto"/>
            <w:vAlign w:val="top"/>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val="0"/>
          <w:color w:val="333333"/>
          <w:sz w:val="32"/>
          <w:szCs w:val="32"/>
        </w:rPr>
      </w:pPr>
      <w:r>
        <w:rPr>
          <w:rFonts w:hint="eastAsia" w:ascii="黑体" w:hAnsi="黑体" w:eastAsia="黑体" w:cs="黑体"/>
          <w:b w:val="0"/>
          <w:bCs w:val="0"/>
          <w:color w:val="333333"/>
          <w:sz w:val="32"/>
          <w:szCs w:val="32"/>
        </w:rPr>
        <w:t>四、政府信息公开行政复议、行政诉讼情况</w:t>
      </w:r>
    </w:p>
    <w:tbl>
      <w:tblPr>
        <w:tblStyle w:val="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65"/>
        <w:gridCol w:w="565"/>
        <w:gridCol w:w="565"/>
        <w:gridCol w:w="565"/>
        <w:gridCol w:w="574"/>
        <w:gridCol w:w="566"/>
        <w:gridCol w:w="566"/>
        <w:gridCol w:w="568"/>
        <w:gridCol w:w="568"/>
        <w:gridCol w:w="573"/>
        <w:gridCol w:w="568"/>
        <w:gridCol w:w="568"/>
        <w:gridCol w:w="568"/>
        <w:gridCol w:w="568"/>
        <w:gridCol w:w="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65"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0"/>
                <w:szCs w:val="20"/>
                <w:lang w:val="en-US" w:eastAsia="zh-CN" w:bidi="ar"/>
              </w:rPr>
              <w:t>行政复议</w:t>
            </w:r>
          </w:p>
        </w:tc>
        <w:tc>
          <w:tcPr>
            <w:tcW w:w="3334" w:type="pct"/>
            <w:gridSpan w:val="10"/>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0"/>
                <w:szCs w:val="20"/>
                <w:lang w:val="en-US" w:eastAsia="zh-CN"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332" w:type="pct"/>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0"/>
                <w:szCs w:val="20"/>
                <w:lang w:val="en-US" w:eastAsia="zh-CN" w:bidi="ar"/>
              </w:rPr>
              <w:t>结果维持</w:t>
            </w:r>
          </w:p>
        </w:tc>
        <w:tc>
          <w:tcPr>
            <w:tcW w:w="332" w:type="pct"/>
            <w:vMerge w:val="restart"/>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0"/>
                <w:szCs w:val="20"/>
                <w:lang w:val="en-US" w:eastAsia="zh-CN" w:bidi="ar"/>
              </w:rPr>
              <w:t>结果</w:t>
            </w:r>
            <w:r>
              <w:rPr>
                <w:rFonts w:hint="eastAsia" w:ascii="宋体" w:hAnsi="宋体" w:eastAsia="宋体" w:cs="宋体"/>
                <w:color w:val="333333"/>
                <w:kern w:val="0"/>
                <w:sz w:val="20"/>
                <w:szCs w:val="20"/>
                <w:lang w:val="en-US" w:eastAsia="zh-CN" w:bidi="ar"/>
              </w:rPr>
              <w:br w:type="textWrapping"/>
            </w:r>
            <w:r>
              <w:rPr>
                <w:rFonts w:hint="eastAsia" w:ascii="宋体" w:hAnsi="宋体" w:eastAsia="宋体" w:cs="宋体"/>
                <w:color w:val="333333"/>
                <w:kern w:val="0"/>
                <w:sz w:val="20"/>
                <w:szCs w:val="20"/>
                <w:lang w:val="en-US" w:eastAsia="zh-CN" w:bidi="ar"/>
              </w:rPr>
              <w:t>纠正</w:t>
            </w:r>
          </w:p>
        </w:tc>
        <w:tc>
          <w:tcPr>
            <w:tcW w:w="33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0"/>
                <w:szCs w:val="20"/>
                <w:lang w:val="en-US" w:eastAsia="zh-CN" w:bidi="ar"/>
              </w:rPr>
              <w:t>其他</w:t>
            </w:r>
            <w:r>
              <w:rPr>
                <w:rFonts w:hint="eastAsia" w:ascii="宋体" w:hAnsi="宋体" w:eastAsia="宋体" w:cs="宋体"/>
                <w:color w:val="333333"/>
                <w:kern w:val="0"/>
                <w:sz w:val="20"/>
                <w:szCs w:val="20"/>
                <w:lang w:val="en-US" w:eastAsia="zh-CN" w:bidi="ar"/>
              </w:rPr>
              <w:br w:type="textWrapping"/>
            </w:r>
            <w:r>
              <w:rPr>
                <w:rFonts w:hint="eastAsia" w:ascii="宋体" w:hAnsi="宋体" w:eastAsia="宋体" w:cs="宋体"/>
                <w:color w:val="333333"/>
                <w:kern w:val="0"/>
                <w:sz w:val="20"/>
                <w:szCs w:val="20"/>
                <w:lang w:val="en-US" w:eastAsia="zh-CN" w:bidi="ar"/>
              </w:rPr>
              <w:t>结果</w:t>
            </w:r>
          </w:p>
        </w:tc>
        <w:tc>
          <w:tcPr>
            <w:tcW w:w="33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0"/>
                <w:szCs w:val="20"/>
                <w:lang w:val="en-US" w:eastAsia="zh-CN" w:bidi="ar"/>
              </w:rPr>
              <w:t>尚未</w:t>
            </w:r>
            <w:r>
              <w:rPr>
                <w:rFonts w:hint="eastAsia" w:ascii="宋体" w:hAnsi="宋体" w:eastAsia="宋体" w:cs="宋体"/>
                <w:color w:val="333333"/>
                <w:kern w:val="0"/>
                <w:sz w:val="20"/>
                <w:szCs w:val="20"/>
                <w:lang w:val="en-US" w:eastAsia="zh-CN" w:bidi="ar"/>
              </w:rPr>
              <w:br w:type="textWrapping"/>
            </w:r>
            <w:r>
              <w:rPr>
                <w:rFonts w:hint="eastAsia" w:ascii="宋体" w:hAnsi="宋体" w:eastAsia="宋体" w:cs="宋体"/>
                <w:color w:val="333333"/>
                <w:kern w:val="0"/>
                <w:sz w:val="20"/>
                <w:szCs w:val="20"/>
                <w:lang w:val="en-US" w:eastAsia="zh-CN" w:bidi="ar"/>
              </w:rPr>
              <w:t>审结</w:t>
            </w:r>
          </w:p>
        </w:tc>
        <w:tc>
          <w:tcPr>
            <w:tcW w:w="33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0"/>
                <w:szCs w:val="20"/>
                <w:lang w:val="en-US" w:eastAsia="zh-CN" w:bidi="ar"/>
              </w:rPr>
              <w:t>总计</w:t>
            </w:r>
          </w:p>
        </w:tc>
        <w:tc>
          <w:tcPr>
            <w:tcW w:w="1666"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0"/>
                <w:szCs w:val="20"/>
                <w:lang w:val="en-US" w:eastAsia="zh-CN" w:bidi="ar"/>
              </w:rPr>
              <w:t>未经复议直接起诉</w:t>
            </w:r>
          </w:p>
        </w:tc>
        <w:tc>
          <w:tcPr>
            <w:tcW w:w="1668"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0"/>
                <w:szCs w:val="20"/>
                <w:lang w:val="en-US" w:eastAsia="zh-CN"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332"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33333"/>
                <w:sz w:val="21"/>
                <w:szCs w:val="21"/>
              </w:rPr>
            </w:pPr>
          </w:p>
        </w:tc>
        <w:tc>
          <w:tcPr>
            <w:tcW w:w="332" w:type="pct"/>
            <w:vMerge w:val="continue"/>
            <w:tcBorders>
              <w:top w:val="nil"/>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33333"/>
                <w:sz w:val="21"/>
                <w:szCs w:val="21"/>
              </w:rPr>
            </w:pPr>
          </w:p>
        </w:tc>
        <w:tc>
          <w:tcPr>
            <w:tcW w:w="33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33333"/>
                <w:sz w:val="21"/>
                <w:szCs w:val="21"/>
              </w:rPr>
            </w:pPr>
          </w:p>
        </w:tc>
        <w:tc>
          <w:tcPr>
            <w:tcW w:w="33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33333"/>
                <w:sz w:val="21"/>
                <w:szCs w:val="21"/>
              </w:rPr>
            </w:pPr>
          </w:p>
        </w:tc>
        <w:tc>
          <w:tcPr>
            <w:tcW w:w="33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33333"/>
                <w:sz w:val="21"/>
                <w:szCs w:val="21"/>
              </w:rPr>
            </w:pPr>
          </w:p>
        </w:tc>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0"/>
                <w:szCs w:val="20"/>
                <w:lang w:val="en-US" w:eastAsia="zh-CN" w:bidi="ar"/>
              </w:rPr>
              <w:t>结果</w:t>
            </w:r>
            <w:r>
              <w:rPr>
                <w:rFonts w:hint="eastAsia" w:ascii="宋体" w:hAnsi="宋体" w:eastAsia="宋体" w:cs="宋体"/>
                <w:color w:val="333333"/>
                <w:kern w:val="0"/>
                <w:sz w:val="20"/>
                <w:szCs w:val="20"/>
                <w:lang w:val="en-US" w:eastAsia="zh-CN" w:bidi="ar"/>
              </w:rPr>
              <w:br w:type="textWrapping"/>
            </w:r>
            <w:r>
              <w:rPr>
                <w:rFonts w:hint="eastAsia" w:ascii="宋体" w:hAnsi="宋体" w:eastAsia="宋体" w:cs="宋体"/>
                <w:color w:val="333333"/>
                <w:kern w:val="0"/>
                <w:sz w:val="20"/>
                <w:szCs w:val="20"/>
                <w:lang w:val="en-US" w:eastAsia="zh-CN" w:bidi="ar"/>
              </w:rPr>
              <w:t>维持</w:t>
            </w:r>
          </w:p>
        </w:tc>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0"/>
                <w:szCs w:val="20"/>
                <w:lang w:val="en-US" w:eastAsia="zh-CN" w:bidi="ar"/>
              </w:rPr>
              <w:t>结果</w:t>
            </w:r>
            <w:r>
              <w:rPr>
                <w:rFonts w:hint="eastAsia" w:ascii="宋体" w:hAnsi="宋体" w:eastAsia="宋体" w:cs="宋体"/>
                <w:color w:val="333333"/>
                <w:kern w:val="0"/>
                <w:sz w:val="20"/>
                <w:szCs w:val="20"/>
                <w:lang w:val="en-US" w:eastAsia="zh-CN" w:bidi="ar"/>
              </w:rPr>
              <w:br w:type="textWrapping"/>
            </w:r>
            <w:r>
              <w:rPr>
                <w:rFonts w:hint="eastAsia" w:ascii="宋体" w:hAnsi="宋体" w:eastAsia="宋体" w:cs="宋体"/>
                <w:color w:val="333333"/>
                <w:kern w:val="0"/>
                <w:sz w:val="20"/>
                <w:szCs w:val="20"/>
                <w:lang w:val="en-US" w:eastAsia="zh-CN" w:bidi="ar"/>
              </w:rPr>
              <w:t>纠正</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0"/>
                <w:szCs w:val="20"/>
                <w:lang w:val="en-US" w:eastAsia="zh-CN" w:bidi="ar"/>
              </w:rPr>
              <w:t>其他</w:t>
            </w:r>
            <w:r>
              <w:rPr>
                <w:rFonts w:hint="eastAsia" w:ascii="宋体" w:hAnsi="宋体" w:eastAsia="宋体" w:cs="宋体"/>
                <w:color w:val="333333"/>
                <w:kern w:val="0"/>
                <w:sz w:val="20"/>
                <w:szCs w:val="20"/>
                <w:lang w:val="en-US" w:eastAsia="zh-CN" w:bidi="ar"/>
              </w:rPr>
              <w:br w:type="textWrapping"/>
            </w:r>
            <w:r>
              <w:rPr>
                <w:rFonts w:hint="eastAsia" w:ascii="宋体" w:hAnsi="宋体" w:eastAsia="宋体" w:cs="宋体"/>
                <w:color w:val="333333"/>
                <w:kern w:val="0"/>
                <w:sz w:val="20"/>
                <w:szCs w:val="20"/>
                <w:lang w:val="en-US" w:eastAsia="zh-CN" w:bidi="ar"/>
              </w:rPr>
              <w:t>结果</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0"/>
                <w:szCs w:val="20"/>
                <w:lang w:val="en-US" w:eastAsia="zh-CN" w:bidi="ar"/>
              </w:rPr>
              <w:t>尚未</w:t>
            </w:r>
            <w:r>
              <w:rPr>
                <w:rFonts w:hint="eastAsia" w:ascii="宋体" w:hAnsi="宋体" w:eastAsia="宋体" w:cs="宋体"/>
                <w:color w:val="333333"/>
                <w:kern w:val="0"/>
                <w:sz w:val="20"/>
                <w:szCs w:val="20"/>
                <w:lang w:val="en-US" w:eastAsia="zh-CN" w:bidi="ar"/>
              </w:rPr>
              <w:br w:type="textWrapping"/>
            </w:r>
            <w:r>
              <w:rPr>
                <w:rFonts w:hint="eastAsia" w:ascii="宋体" w:hAnsi="宋体" w:eastAsia="宋体" w:cs="宋体"/>
                <w:color w:val="333333"/>
                <w:kern w:val="0"/>
                <w:sz w:val="20"/>
                <w:szCs w:val="20"/>
                <w:lang w:val="en-US" w:eastAsia="zh-CN" w:bidi="ar"/>
              </w:rPr>
              <w:t>审结</w:t>
            </w:r>
          </w:p>
        </w:tc>
        <w:tc>
          <w:tcPr>
            <w:tcW w:w="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000000"/>
                <w:kern w:val="0"/>
                <w:sz w:val="20"/>
                <w:szCs w:val="20"/>
                <w:lang w:val="en-US" w:eastAsia="zh-CN" w:bidi="ar"/>
              </w:rPr>
              <w:t>总计</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0"/>
                <w:szCs w:val="20"/>
                <w:lang w:val="en-US" w:eastAsia="zh-CN" w:bidi="ar"/>
              </w:rPr>
              <w:t>结果</w:t>
            </w:r>
            <w:r>
              <w:rPr>
                <w:rFonts w:hint="eastAsia" w:ascii="宋体" w:hAnsi="宋体" w:eastAsia="宋体" w:cs="宋体"/>
                <w:color w:val="333333"/>
                <w:kern w:val="0"/>
                <w:sz w:val="20"/>
                <w:szCs w:val="20"/>
                <w:lang w:val="en-US" w:eastAsia="zh-CN" w:bidi="ar"/>
              </w:rPr>
              <w:br w:type="textWrapping"/>
            </w:r>
            <w:r>
              <w:rPr>
                <w:rFonts w:hint="eastAsia" w:ascii="宋体" w:hAnsi="宋体" w:eastAsia="宋体" w:cs="宋体"/>
                <w:color w:val="333333"/>
                <w:kern w:val="0"/>
                <w:sz w:val="20"/>
                <w:szCs w:val="20"/>
                <w:lang w:val="en-US" w:eastAsia="zh-CN" w:bidi="ar"/>
              </w:rPr>
              <w:t>维持</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0"/>
                <w:szCs w:val="20"/>
                <w:lang w:val="en-US" w:eastAsia="zh-CN" w:bidi="ar"/>
              </w:rPr>
              <w:t>结果</w:t>
            </w:r>
            <w:r>
              <w:rPr>
                <w:rFonts w:hint="eastAsia" w:ascii="宋体" w:hAnsi="宋体" w:eastAsia="宋体" w:cs="宋体"/>
                <w:color w:val="333333"/>
                <w:kern w:val="0"/>
                <w:sz w:val="20"/>
                <w:szCs w:val="20"/>
                <w:lang w:val="en-US" w:eastAsia="zh-CN" w:bidi="ar"/>
              </w:rPr>
              <w:br w:type="textWrapping"/>
            </w:r>
            <w:r>
              <w:rPr>
                <w:rFonts w:hint="eastAsia" w:ascii="宋体" w:hAnsi="宋体" w:eastAsia="宋体" w:cs="宋体"/>
                <w:color w:val="333333"/>
                <w:kern w:val="0"/>
                <w:sz w:val="20"/>
                <w:szCs w:val="20"/>
                <w:lang w:val="en-US" w:eastAsia="zh-CN" w:bidi="ar"/>
              </w:rPr>
              <w:t>纠正</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0"/>
                <w:szCs w:val="20"/>
                <w:lang w:val="en-US" w:eastAsia="zh-CN" w:bidi="ar"/>
              </w:rPr>
              <w:t>尚未</w:t>
            </w:r>
            <w:r>
              <w:rPr>
                <w:rFonts w:hint="eastAsia" w:ascii="宋体" w:hAnsi="宋体" w:eastAsia="宋体" w:cs="宋体"/>
                <w:color w:val="333333"/>
                <w:kern w:val="0"/>
                <w:sz w:val="20"/>
                <w:szCs w:val="20"/>
                <w:lang w:val="en-US" w:eastAsia="zh-CN" w:bidi="ar"/>
              </w:rPr>
              <w:br w:type="textWrapping"/>
            </w:r>
            <w:r>
              <w:rPr>
                <w:rFonts w:hint="eastAsia" w:ascii="宋体" w:hAnsi="宋体" w:eastAsia="宋体" w:cs="宋体"/>
                <w:color w:val="333333"/>
                <w:kern w:val="0"/>
                <w:sz w:val="20"/>
                <w:szCs w:val="20"/>
                <w:lang w:val="en-US" w:eastAsia="zh-CN" w:bidi="ar"/>
              </w:rPr>
              <w:t>审结</w:t>
            </w:r>
          </w:p>
        </w:tc>
        <w:tc>
          <w:tcPr>
            <w:tcW w:w="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000000"/>
                <w:kern w:val="0"/>
                <w:sz w:val="20"/>
                <w:szCs w:val="20"/>
                <w:lang w:val="en-US" w:eastAsia="zh-CN"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2" w:hRule="atLeast"/>
          <w:jc w:val="center"/>
        </w:trPr>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3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3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33"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Lines="0" w:afterAutospacing="0" w:line="560" w:lineRule="exact"/>
              <w:ind w:left="0" w:leftChars="0" w:right="0" w:rightChars="0" w:firstLine="0" w:firstLineChars="0"/>
              <w:jc w:val="center"/>
              <w:textAlignment w:val="auto"/>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c>
          <w:tcPr>
            <w:tcW w:w="33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宋体" w:hAnsi="宋体" w:eastAsia="宋体" w:cs="宋体"/>
                <w:color w:val="333333"/>
                <w:sz w:val="21"/>
                <w:szCs w:val="21"/>
              </w:rPr>
            </w:pPr>
            <w:r>
              <w:rPr>
                <w:rFonts w:hint="eastAsia" w:ascii="宋体" w:hAnsi="宋体" w:eastAsia="宋体" w:cs="宋体"/>
                <w:color w:val="333333"/>
                <w:kern w:val="0"/>
                <w:sz w:val="21"/>
                <w:szCs w:val="21"/>
                <w:lang w:val="en-US" w:eastAsia="zh-CN" w:bidi="ar"/>
              </w:rPr>
              <w:t> </w:t>
            </w:r>
            <w:r>
              <w:rPr>
                <w:rFonts w:hint="default" w:ascii="宋体" w:hAnsi="宋体" w:eastAsia="宋体" w:cs="宋体"/>
                <w:color w:val="333333"/>
                <w:kern w:val="0"/>
                <w:sz w:val="21"/>
                <w:szCs w:val="21"/>
                <w:lang w:val="en" w:eastAsia="zh-CN" w:bidi="ar"/>
              </w:rPr>
              <w:t>0</w:t>
            </w:r>
          </w:p>
        </w:tc>
      </w:tr>
    </w:tbl>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val="0"/>
          <w:color w:val="333333"/>
          <w:sz w:val="32"/>
          <w:szCs w:val="32"/>
        </w:rPr>
      </w:pPr>
      <w:r>
        <w:rPr>
          <w:rFonts w:hint="eastAsia" w:ascii="黑体" w:hAnsi="黑体" w:eastAsia="黑体" w:cs="黑体"/>
          <w:b w:val="0"/>
          <w:bCs w:val="0"/>
          <w:color w:val="333333"/>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_GB2312" w:hAnsi="仿宋_GB2312" w:eastAsia="仿宋_GB2312" w:cs="仿宋_GB2312"/>
          <w:color w:val="auto"/>
          <w:sz w:val="32"/>
          <w:szCs w:val="32"/>
        </w:rPr>
        <w:t>目前，主动公开意识仍需进一步加强，信息公开时效性也有待提高。2026年，</w:t>
      </w:r>
      <w:r>
        <w:rPr>
          <w:rFonts w:hint="default" w:ascii="仿宋_GB2312" w:hAnsi="仿宋_GB2312" w:eastAsia="仿宋_GB2312" w:cs="仿宋_GB2312"/>
          <w:color w:val="auto"/>
          <w:sz w:val="32"/>
          <w:szCs w:val="32"/>
          <w:lang w:val="en"/>
        </w:rPr>
        <w:t>咸宁</w:t>
      </w:r>
      <w:r>
        <w:rPr>
          <w:rFonts w:hint="eastAsia" w:ascii="仿宋_GB2312" w:hAnsi="仿宋_GB2312" w:eastAsia="仿宋_GB2312" w:cs="仿宋_GB2312"/>
          <w:color w:val="auto"/>
          <w:sz w:val="32"/>
          <w:szCs w:val="32"/>
        </w:rPr>
        <w:t>市信访局将继续深入学习贯彻落实《中华人民共和国政府信息公开条例》，进一步强化公开意识和服务意识，全力推动政府信息公开工作实现提质增效。</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黑体" w:hAnsi="黑体" w:eastAsia="黑体" w:cs="黑体"/>
          <w:b w:val="0"/>
          <w:bCs w:val="0"/>
          <w:color w:val="333333"/>
          <w:sz w:val="32"/>
          <w:szCs w:val="32"/>
        </w:rPr>
      </w:pPr>
      <w:r>
        <w:rPr>
          <w:rFonts w:hint="eastAsia" w:ascii="黑体" w:hAnsi="黑体" w:eastAsia="黑体" w:cs="黑体"/>
          <w:b w:val="0"/>
          <w:bCs w:val="0"/>
          <w:color w:val="333333"/>
          <w:sz w:val="32"/>
          <w:szCs w:val="32"/>
        </w:rPr>
        <w:t>六、其他需要报告的事项</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 2025年度，</w:t>
      </w:r>
      <w:r>
        <w:rPr>
          <w:rFonts w:hint="default" w:ascii="仿宋_GB2312" w:hAnsi="仿宋_GB2312" w:eastAsia="仿宋_GB2312" w:cs="仿宋_GB2312"/>
          <w:color w:val="auto"/>
          <w:sz w:val="32"/>
          <w:szCs w:val="32"/>
          <w:lang w:val="en"/>
        </w:rPr>
        <w:t>咸宁</w:t>
      </w:r>
      <w:r>
        <w:rPr>
          <w:rFonts w:hint="eastAsia" w:ascii="仿宋_GB2312" w:hAnsi="仿宋_GB2312" w:eastAsia="仿宋_GB2312" w:cs="仿宋_GB2312"/>
          <w:color w:val="auto"/>
          <w:sz w:val="32"/>
          <w:szCs w:val="32"/>
        </w:rPr>
        <w:t>市信访局未收取任何政府信息公开处理费用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无建议提案办理公开情况</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无重点领域（公益事业建设、公共资源配置）政府信息公开情况。</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color w:val="auto"/>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color w:val="auto"/>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color w:val="auto"/>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center"/>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lang w:eastAsia="zh-CN"/>
        </w:rPr>
        <w:t>咸宁市信访局</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righ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2026年1月30日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8B1E27"/>
    <w:rsid w:val="238B1E27"/>
    <w:rsid w:val="246E2621"/>
    <w:rsid w:val="380214FF"/>
    <w:rsid w:val="397119C0"/>
    <w:rsid w:val="3EADE3F4"/>
    <w:rsid w:val="5FF0D4BB"/>
    <w:rsid w:val="6697F0FD"/>
    <w:rsid w:val="75D31F65"/>
    <w:rsid w:val="767F26AF"/>
    <w:rsid w:val="777FA20A"/>
    <w:rsid w:val="79FB1236"/>
    <w:rsid w:val="7BD55349"/>
    <w:rsid w:val="7E5E0636"/>
    <w:rsid w:val="DF7FB6E3"/>
    <w:rsid w:val="EF565F92"/>
    <w:rsid w:val="EFDFA981"/>
    <w:rsid w:val="FE9D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841</Words>
  <Characters>864</Characters>
  <Lines>0</Lines>
  <Paragraphs>0</Paragraphs>
  <TotalTime>10</TotalTime>
  <ScaleCrop>false</ScaleCrop>
  <LinksUpToDate>false</LinksUpToDate>
  <CharactersWithSpaces>1051</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2021-12-24T07:19:00Z</dcterms:created>
  <dc:creator>WPS_1624785580</dc:creator>
  <cp:lastModifiedBy>user</cp:lastModifiedBy>
  <dcterms:modified xsi:type="dcterms:W3CDTF">2026-01-30T15:47:09Z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777F53E91E564B3B96F5A1A435D08748</vt:lpwstr>
  </property>
  <property fmtid="{D5CDD505-2E9C-101B-9397-08002B2CF9AE}" pid="4" name="KSOTemplateDocerSaveRecord">
    <vt:lpwstr>eyJoZGlkIjoiZGU3ZGU1Y2FjZWY2NzEwMDY2MGYxODdmMjlmYzgwZjkiLCJ1c2VySWQiOiI0MjI2ODgwNDQifQ==</vt:lpwstr>
  </property>
</Properties>
</file>